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EE" w:rsidRPr="00EE4BEE" w:rsidRDefault="00EE4BEE" w:rsidP="00EE4BEE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EE4BEE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EE4BEE" w:rsidRPr="00EE4BEE" w:rsidRDefault="00EE4BEE" w:rsidP="00EE4BEE">
      <w:pPr>
        <w:spacing w:line="360" w:lineRule="auto"/>
        <w:ind w:left="11" w:hanging="11"/>
        <w:jc w:val="both"/>
        <w:rPr>
          <w:rFonts w:ascii="Arial" w:hAnsi="Arial" w:cs="Arial"/>
          <w:b/>
          <w:sz w:val="22"/>
          <w:szCs w:val="22"/>
        </w:rPr>
      </w:pPr>
    </w:p>
    <w:p w:rsidR="00F60D5C" w:rsidRDefault="00B37842" w:rsidP="00EE4BE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 E C R E T O:</w:t>
      </w:r>
    </w:p>
    <w:p w:rsidR="00F60D5C" w:rsidRDefault="00EE4BEE" w:rsidP="00EE4BE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Por el que </w:t>
      </w:r>
      <w:r w:rsidR="00B37842">
        <w:rPr>
          <w:rFonts w:ascii="Arial" w:eastAsia="Arial" w:hAnsi="Arial" w:cs="Arial"/>
          <w:b/>
        </w:rPr>
        <w:t>modifica el Código Penal del Estado de Yucatán.</w:t>
      </w:r>
    </w:p>
    <w:p w:rsidR="00F60D5C" w:rsidRDefault="00F60D5C">
      <w:pPr>
        <w:jc w:val="center"/>
        <w:rPr>
          <w:rFonts w:ascii="Arial" w:eastAsia="Arial" w:hAnsi="Arial" w:cs="Arial"/>
          <w:b/>
        </w:rPr>
      </w:pPr>
    </w:p>
    <w:p w:rsidR="00F60D5C" w:rsidRDefault="00B37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único. </w:t>
      </w:r>
      <w:r>
        <w:rPr>
          <w:rFonts w:ascii="Arial" w:eastAsia="Arial" w:hAnsi="Arial" w:cs="Arial"/>
        </w:rPr>
        <w:t>Se reforma la fracción I del artículo 269, se adiciona el artículo 270 Bis y la fracción IV al artículo 272, todos del Código Penal del Estado de Yucatán, para quedar como sigue:</w:t>
      </w:r>
    </w:p>
    <w:p w:rsidR="00F60D5C" w:rsidRDefault="00F60D5C">
      <w:pPr>
        <w:jc w:val="both"/>
        <w:rPr>
          <w:rFonts w:ascii="Arial" w:eastAsia="Arial" w:hAnsi="Arial" w:cs="Arial"/>
        </w:rPr>
      </w:pPr>
    </w:p>
    <w:p w:rsidR="00F60D5C" w:rsidRDefault="00B37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269.-…</w:t>
      </w:r>
    </w:p>
    <w:p w:rsidR="00F60D5C" w:rsidRDefault="00F60D5C">
      <w:pPr>
        <w:jc w:val="both"/>
        <w:rPr>
          <w:rFonts w:ascii="Arial" w:eastAsia="Arial" w:hAnsi="Arial" w:cs="Arial"/>
        </w:rPr>
      </w:pPr>
    </w:p>
    <w:p w:rsidR="00F60D5C" w:rsidRDefault="00B378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Además de las sanciones señaladas para los delitos que resulten cometidos, según sean dolosos o culposos, se les aplicará suspensión de tres meses a tres años en el ejercicio de la profesión o definitiva en caso de reincidencia, y por responsabilidad relacionada al ejercicio de su actividad, y</w:t>
      </w:r>
    </w:p>
    <w:p w:rsidR="00F60D5C" w:rsidRDefault="00F60D5C">
      <w:pPr>
        <w:jc w:val="both"/>
        <w:rPr>
          <w:rFonts w:ascii="Arial" w:eastAsia="Arial" w:hAnsi="Arial" w:cs="Arial"/>
          <w:b/>
        </w:rPr>
      </w:pPr>
    </w:p>
    <w:p w:rsidR="00F60D5C" w:rsidRDefault="00B378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II.-…</w:t>
      </w:r>
    </w:p>
    <w:p w:rsidR="00F60D5C" w:rsidRDefault="00F60D5C" w:rsidP="00EE4BEE">
      <w:pPr>
        <w:jc w:val="center"/>
        <w:rPr>
          <w:rFonts w:ascii="Arial" w:eastAsia="Arial" w:hAnsi="Arial" w:cs="Arial"/>
          <w:b/>
        </w:rPr>
      </w:pPr>
    </w:p>
    <w:p w:rsidR="00F60D5C" w:rsidRPr="00511D0F" w:rsidRDefault="00B37842">
      <w:pPr>
        <w:spacing w:before="280" w:after="280"/>
        <w:jc w:val="both"/>
        <w:rPr>
          <w:rFonts w:ascii="Arial" w:eastAsia="Arial" w:hAnsi="Arial" w:cs="Arial"/>
        </w:rPr>
      </w:pPr>
      <w:r w:rsidRPr="00511D0F">
        <w:rPr>
          <w:rFonts w:ascii="Arial" w:eastAsia="Arial" w:hAnsi="Arial" w:cs="Arial"/>
          <w:b/>
        </w:rPr>
        <w:t xml:space="preserve">Artículo 270 </w:t>
      </w:r>
      <w:proofErr w:type="gramStart"/>
      <w:r w:rsidRPr="00511D0F">
        <w:rPr>
          <w:rFonts w:ascii="Arial" w:eastAsia="Arial" w:hAnsi="Arial" w:cs="Arial"/>
          <w:b/>
        </w:rPr>
        <w:t>bis.</w:t>
      </w:r>
      <w:r w:rsidR="00F1480C">
        <w:rPr>
          <w:rFonts w:ascii="Arial" w:eastAsia="Arial" w:hAnsi="Arial" w:cs="Arial"/>
          <w:b/>
        </w:rPr>
        <w:t>-</w:t>
      </w:r>
      <w:proofErr w:type="gramEnd"/>
      <w:r w:rsidRPr="00511D0F">
        <w:rPr>
          <w:rFonts w:ascii="Arial" w:eastAsia="Arial" w:hAnsi="Arial" w:cs="Arial"/>
          <w:b/>
        </w:rPr>
        <w:t xml:space="preserve"> </w:t>
      </w:r>
      <w:r w:rsidRPr="00511D0F">
        <w:rPr>
          <w:rFonts w:ascii="Arial" w:eastAsia="Arial" w:hAnsi="Arial" w:cs="Arial"/>
        </w:rPr>
        <w:t>Se impondrá sanción de seis meses a tres años de prisión y, de cincuenta a doscientos días - multa, a quien lleve a cabo un procedimiento quirúrgico sin contar con el equipo médico</w:t>
      </w:r>
      <w:r w:rsidR="00373410" w:rsidRPr="00511D0F">
        <w:rPr>
          <w:rFonts w:ascii="Arial" w:eastAsia="Arial" w:hAnsi="Arial" w:cs="Arial"/>
        </w:rPr>
        <w:t xml:space="preserve"> especializado</w:t>
      </w:r>
      <w:r w:rsidR="00035339">
        <w:rPr>
          <w:rFonts w:ascii="Arial" w:eastAsia="Arial" w:hAnsi="Arial" w:cs="Arial"/>
        </w:rPr>
        <w:t xml:space="preserve"> y</w:t>
      </w:r>
      <w:r w:rsidR="00373410" w:rsidRPr="00511D0F">
        <w:rPr>
          <w:rFonts w:ascii="Arial" w:eastAsia="Arial" w:hAnsi="Arial" w:cs="Arial"/>
        </w:rPr>
        <w:t xml:space="preserve"> </w:t>
      </w:r>
      <w:r w:rsidR="00B863D6">
        <w:rPr>
          <w:rFonts w:ascii="Arial" w:eastAsia="Arial" w:hAnsi="Arial" w:cs="Arial"/>
        </w:rPr>
        <w:t xml:space="preserve">sin cumplir </w:t>
      </w:r>
      <w:r w:rsidR="00373410" w:rsidRPr="00511D0F">
        <w:rPr>
          <w:rFonts w:ascii="Arial" w:eastAsia="Arial" w:hAnsi="Arial" w:cs="Arial"/>
        </w:rPr>
        <w:t>con lo establecido en la Ley General de Salud</w:t>
      </w:r>
      <w:r w:rsidRPr="00511D0F">
        <w:rPr>
          <w:rFonts w:ascii="Arial" w:eastAsia="Arial" w:hAnsi="Arial" w:cs="Arial"/>
        </w:rPr>
        <w:t>. Lo anterior con independencia de las sanciones previstas en el artículo 269 de este Código en caso de los delitos que resultaren como consecuencia del ejercicio de su profesión.</w:t>
      </w:r>
    </w:p>
    <w:p w:rsidR="00F60D5C" w:rsidRPr="00511D0F" w:rsidRDefault="00B37842">
      <w:pPr>
        <w:spacing w:before="280" w:after="280"/>
        <w:jc w:val="both"/>
        <w:rPr>
          <w:rFonts w:ascii="Arial" w:eastAsia="Arial" w:hAnsi="Arial" w:cs="Arial"/>
        </w:rPr>
      </w:pPr>
      <w:r w:rsidRPr="00511D0F">
        <w:rPr>
          <w:rFonts w:ascii="Arial" w:eastAsia="Arial" w:hAnsi="Arial" w:cs="Arial"/>
        </w:rPr>
        <w:t xml:space="preserve">Los procedimientos de cirugía plástica, estética y reconstructiva relacionada con cambiar o corregir el contorno o forma de diferentes zonas o regiones de la cara y del cuerpo, serán estrictamente realizados por un especialista en la materia y con equipo médico especializado, </w:t>
      </w:r>
      <w:proofErr w:type="gramStart"/>
      <w:r w:rsidRPr="00511D0F">
        <w:rPr>
          <w:rFonts w:ascii="Arial" w:eastAsia="Arial" w:hAnsi="Arial" w:cs="Arial"/>
        </w:rPr>
        <w:t>de acuerdo a</w:t>
      </w:r>
      <w:proofErr w:type="gramEnd"/>
      <w:r w:rsidRPr="00511D0F">
        <w:rPr>
          <w:rFonts w:ascii="Arial" w:eastAsia="Arial" w:hAnsi="Arial" w:cs="Arial"/>
        </w:rPr>
        <w:t xml:space="preserve"> la </w:t>
      </w:r>
      <w:r w:rsidR="00373410" w:rsidRPr="00511D0F">
        <w:rPr>
          <w:rFonts w:ascii="Arial" w:eastAsia="Arial" w:hAnsi="Arial" w:cs="Arial"/>
        </w:rPr>
        <w:t>Ley General de Salud</w:t>
      </w:r>
      <w:r w:rsidRPr="00511D0F">
        <w:rPr>
          <w:rFonts w:ascii="Arial" w:eastAsia="Arial" w:hAnsi="Arial" w:cs="Arial"/>
        </w:rPr>
        <w:t>.</w:t>
      </w:r>
    </w:p>
    <w:p w:rsidR="00373410" w:rsidRPr="00511D0F" w:rsidRDefault="00373410">
      <w:pPr>
        <w:spacing w:before="280" w:after="280"/>
        <w:jc w:val="both"/>
        <w:rPr>
          <w:rFonts w:ascii="Arial" w:eastAsia="Arial" w:hAnsi="Arial" w:cs="Arial"/>
        </w:rPr>
      </w:pPr>
      <w:r w:rsidRPr="00511D0F">
        <w:rPr>
          <w:rFonts w:ascii="Arial" w:eastAsia="Arial" w:hAnsi="Arial" w:cs="Arial"/>
        </w:rPr>
        <w:t xml:space="preserve">En el último supuesto del párrafo anterior quedan exceptuados aquellos casos en los que, por razón de urgencia médica, a fin de salvaguardar la vida o integridad física del paciente, no se encuentre disponible un médico con la especialidad correspondiente para realizar el procedimiento quirúrgico. </w:t>
      </w:r>
    </w:p>
    <w:p w:rsidR="00EE4BEE" w:rsidRDefault="00EE4BEE">
      <w:pPr>
        <w:spacing w:before="280" w:after="280"/>
        <w:jc w:val="both"/>
        <w:rPr>
          <w:rFonts w:ascii="Arial" w:eastAsia="Arial" w:hAnsi="Arial" w:cs="Arial"/>
          <w:b/>
        </w:rPr>
      </w:pPr>
    </w:p>
    <w:p w:rsidR="00F60D5C" w:rsidRDefault="00B37842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272.-…</w:t>
      </w:r>
    </w:p>
    <w:p w:rsidR="00F60D5C" w:rsidRDefault="00B37842">
      <w:pPr>
        <w:spacing w:before="280" w:after="2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I.- </w:t>
      </w:r>
      <w:r w:rsidRPr="00B552A4"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b/>
        </w:rPr>
        <w:t xml:space="preserve"> III.-...</w:t>
      </w:r>
    </w:p>
    <w:p w:rsidR="00F60D5C" w:rsidRDefault="00B37842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Autorice la práctica de un procedimiento médico quirúrgico de especialidad en las instalaciones bajo su dirección, encargo o administración, por persona que no cuente</w:t>
      </w:r>
      <w:r w:rsidR="007D5942">
        <w:rPr>
          <w:rFonts w:ascii="Arial" w:eastAsia="Arial" w:hAnsi="Arial" w:cs="Arial"/>
        </w:rPr>
        <w:t xml:space="preserve"> con los requisitos establecidos</w:t>
      </w:r>
      <w:r>
        <w:rPr>
          <w:rFonts w:ascii="Arial" w:eastAsia="Arial" w:hAnsi="Arial" w:cs="Arial"/>
        </w:rPr>
        <w:t xml:space="preserve"> en la </w:t>
      </w:r>
      <w:r w:rsidR="007D5942">
        <w:rPr>
          <w:rFonts w:ascii="Arial" w:eastAsia="Arial" w:hAnsi="Arial" w:cs="Arial"/>
        </w:rPr>
        <w:t>Ley General de Salud</w:t>
      </w:r>
      <w:r>
        <w:rPr>
          <w:rFonts w:ascii="Arial" w:eastAsia="Arial" w:hAnsi="Arial" w:cs="Arial"/>
        </w:rPr>
        <w:t>; o bien, sin contar con licencia sanitaria vigente. Lo anterior sin perjuicio de la responsabilidad penal que pudiere imputarse a la persona física o jurídica correspondiente por su complicidad en los delitos que en su caso resultaren como consecuencia de la responsabilidad médica.</w:t>
      </w:r>
    </w:p>
    <w:p w:rsidR="00877851" w:rsidRDefault="00877851" w:rsidP="00877851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misma sanción se impondrá a los encargados, empleados o dependientes de una farmacia, que al surtir una receta sustituyan la medicina específicamente recetada por otra que cause daño o sea evidentemente inapropiado al padecimiento para el cual se prescribió.</w:t>
      </w:r>
    </w:p>
    <w:p w:rsidR="00F60D5C" w:rsidRDefault="00EE4BEE" w:rsidP="00877851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 </w:t>
      </w:r>
      <w:r w:rsidR="00B37842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 </w:t>
      </w:r>
      <w:r w:rsidR="00B37842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:</w:t>
      </w:r>
    </w:p>
    <w:p w:rsidR="00F60D5C" w:rsidRDefault="00B37842" w:rsidP="00877851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único. </w:t>
      </w:r>
      <w:r>
        <w:rPr>
          <w:rFonts w:ascii="Arial" w:eastAsia="Arial" w:hAnsi="Arial" w:cs="Arial"/>
        </w:rPr>
        <w:t xml:space="preserve">Este decreto entrará en vigor al día siguiente de su publicación en el Diario Oficial del Gobierno del Estado de Yucatán. </w:t>
      </w:r>
    </w:p>
    <w:p w:rsidR="00EE4BEE" w:rsidRDefault="00EE4BEE" w:rsidP="00EE4BEE">
      <w:pPr>
        <w:spacing w:after="160"/>
        <w:jc w:val="both"/>
        <w:rPr>
          <w:rFonts w:ascii="Arial" w:eastAsia="Arial" w:hAnsi="Arial" w:cs="Arial"/>
        </w:rPr>
      </w:pPr>
    </w:p>
    <w:p w:rsidR="00EE4BEE" w:rsidRPr="00EE4BEE" w:rsidRDefault="00EE4BEE" w:rsidP="00EE4BEE">
      <w:pPr>
        <w:shd w:val="clear" w:color="auto" w:fill="FFFFFF"/>
        <w:adjustRightInd w:val="0"/>
        <w:ind w:right="-6"/>
        <w:jc w:val="both"/>
        <w:rPr>
          <w:rFonts w:ascii="Arial" w:hAnsi="Arial" w:cs="Arial"/>
          <w:b/>
          <w:bCs/>
          <w:sz w:val="21"/>
          <w:szCs w:val="21"/>
        </w:rPr>
      </w:pPr>
      <w:r w:rsidRPr="00EE4BEE">
        <w:rPr>
          <w:rFonts w:ascii="Arial" w:hAnsi="Arial" w:cs="Arial"/>
          <w:b/>
          <w:bCs/>
          <w:sz w:val="21"/>
          <w:szCs w:val="21"/>
        </w:rPr>
        <w:t>DADO EN LA SEDE DEL RECINTO DEL PODER LEGISLATIVO EN LA CIUDAD DE MÉRIDA, YUCATÁN, ESTADOS UNIDOS MEXICANOS A LOS VEINTISIETE DÍAS DEL MES DE NOVIEMBRE DEL AÑO DOS MIL DIECINUEVE.</w:t>
      </w:r>
    </w:p>
    <w:p w:rsidR="00EE4BEE" w:rsidRPr="00EE4BEE" w:rsidRDefault="00EE4BEE" w:rsidP="00EE4BEE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</w:p>
    <w:p w:rsidR="00EE4BEE" w:rsidRPr="00EE4BEE" w:rsidRDefault="00EE4BEE" w:rsidP="00EE4BE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E4BEE">
        <w:rPr>
          <w:rFonts w:ascii="Arial" w:hAnsi="Arial" w:cs="Arial"/>
          <w:b/>
          <w:sz w:val="21"/>
          <w:szCs w:val="21"/>
        </w:rPr>
        <w:t>PRESIDENTE:</w:t>
      </w:r>
    </w:p>
    <w:p w:rsidR="00EE4BEE" w:rsidRPr="00EE4BEE" w:rsidRDefault="00EE4BEE" w:rsidP="00EE4BE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E4BEE" w:rsidRPr="00EE4BEE" w:rsidRDefault="00EE4BEE" w:rsidP="00EE4BE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E4BEE">
        <w:rPr>
          <w:rFonts w:ascii="Arial" w:hAnsi="Arial" w:cs="Arial"/>
          <w:b/>
          <w:sz w:val="21"/>
          <w:szCs w:val="21"/>
        </w:rPr>
        <w:t>DIP. MARTÍN ENRIQUE CASTILLO RUZ.</w:t>
      </w:r>
    </w:p>
    <w:p w:rsidR="00EE4BEE" w:rsidRPr="00EE4BEE" w:rsidRDefault="00EE4BEE" w:rsidP="00EE4BE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EE4BEE" w:rsidRPr="00EE4BEE" w:rsidTr="00520B7D">
        <w:trPr>
          <w:jc w:val="center"/>
        </w:trPr>
        <w:tc>
          <w:tcPr>
            <w:tcW w:w="5032" w:type="dxa"/>
          </w:tcPr>
          <w:p w:rsidR="00EE4BEE" w:rsidRPr="00EE4BEE" w:rsidRDefault="00EE4BEE" w:rsidP="00520B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E4BEE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EE4BEE" w:rsidRPr="00EE4BEE" w:rsidRDefault="00EE4BEE" w:rsidP="00520B7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E4BEE" w:rsidRPr="00EE4BEE" w:rsidRDefault="00EE4BEE" w:rsidP="00520B7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E4BEE" w:rsidRPr="00EE4BEE" w:rsidRDefault="00EE4BEE" w:rsidP="00520B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E4BEE">
              <w:rPr>
                <w:rFonts w:ascii="Arial" w:hAnsi="Arial" w:cs="Arial"/>
                <w:b/>
                <w:sz w:val="21"/>
                <w:szCs w:val="21"/>
              </w:rPr>
              <w:t>DIP. MIGUEL ESTEBAN RODRÍGUEZ BAQUIERO.</w:t>
            </w:r>
          </w:p>
        </w:tc>
        <w:tc>
          <w:tcPr>
            <w:tcW w:w="4831" w:type="dxa"/>
          </w:tcPr>
          <w:p w:rsidR="00EE4BEE" w:rsidRPr="00EE4BEE" w:rsidRDefault="00EE4BEE" w:rsidP="00520B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E4BEE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EE4BEE" w:rsidRPr="00EE4BEE" w:rsidRDefault="00EE4BEE" w:rsidP="00520B7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E4BEE" w:rsidRPr="00EE4BEE" w:rsidRDefault="00EE4BEE" w:rsidP="00520B7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E4BEE" w:rsidRPr="00EE4BEE" w:rsidRDefault="00EE4BEE" w:rsidP="00520B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E4BEE">
              <w:rPr>
                <w:rFonts w:ascii="Arial" w:hAnsi="Arial" w:cs="Arial"/>
                <w:b/>
                <w:sz w:val="21"/>
                <w:szCs w:val="21"/>
              </w:rPr>
              <w:t xml:space="preserve">DIP. LUIS HERMELINDO LOEZA </w:t>
            </w:r>
          </w:p>
          <w:p w:rsidR="00EE4BEE" w:rsidRPr="00EE4BEE" w:rsidRDefault="00EE4BEE" w:rsidP="00520B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E4BEE">
              <w:rPr>
                <w:rFonts w:ascii="Arial" w:hAnsi="Arial" w:cs="Arial"/>
                <w:b/>
                <w:sz w:val="21"/>
                <w:szCs w:val="21"/>
              </w:rPr>
              <w:t>PACHECO.</w:t>
            </w:r>
          </w:p>
        </w:tc>
      </w:tr>
    </w:tbl>
    <w:p w:rsidR="00EE4BEE" w:rsidRPr="00EE4BEE" w:rsidRDefault="00EE4BEE" w:rsidP="00877851">
      <w:pPr>
        <w:spacing w:after="160"/>
        <w:jc w:val="both"/>
        <w:rPr>
          <w:rFonts w:ascii="Arial" w:eastAsia="Arial" w:hAnsi="Arial" w:cs="Arial"/>
        </w:rPr>
      </w:pPr>
    </w:p>
    <w:sectPr w:rsidR="00EE4BEE" w:rsidRPr="00EE4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2694" w:right="1610" w:bottom="1418" w:left="2268" w:header="794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0C0" w:rsidRDefault="004050C0">
      <w:r>
        <w:separator/>
      </w:r>
    </w:p>
  </w:endnote>
  <w:endnote w:type="continuationSeparator" w:id="0">
    <w:p w:rsidR="004050C0" w:rsidRDefault="0040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5C" w:rsidRDefault="00B378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60D5C" w:rsidRDefault="00F6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5C" w:rsidRDefault="00B378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gette" w:eastAsia="Courgette" w:hAnsi="Courgette" w:cs="Courgette"/>
        <w:i/>
        <w:color w:val="000000"/>
      </w:rPr>
    </w:pPr>
    <w:r>
      <w:rPr>
        <w:rFonts w:ascii="Courgette" w:eastAsia="Courgette" w:hAnsi="Courgette" w:cs="Courgette"/>
        <w:i/>
        <w:color w:val="000000"/>
      </w:rPr>
      <w:t>“2019, Año de la Lengua Maya en el Estado de Yucatán”</w:t>
    </w:r>
  </w:p>
  <w:p w:rsidR="00F60D5C" w:rsidRDefault="00B378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63D6">
      <w:rPr>
        <w:noProof/>
        <w:color w:val="000000"/>
      </w:rPr>
      <w:t>18</w:t>
    </w:r>
    <w:r>
      <w:rPr>
        <w:color w:val="000000"/>
      </w:rPr>
      <w:fldChar w:fldCharType="end"/>
    </w:r>
  </w:p>
  <w:p w:rsidR="00F60D5C" w:rsidRDefault="00F6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5C" w:rsidRDefault="00F6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0C0" w:rsidRDefault="004050C0">
      <w:r>
        <w:separator/>
      </w:r>
    </w:p>
  </w:footnote>
  <w:footnote w:type="continuationSeparator" w:id="0">
    <w:p w:rsidR="004050C0" w:rsidRDefault="0040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5C" w:rsidRDefault="00F6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5C" w:rsidRDefault="00B378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-1111884</wp:posOffset>
              </wp:positionH>
              <wp:positionV relativeFrom="paragraph">
                <wp:posOffset>-243204</wp:posOffset>
              </wp:positionV>
              <wp:extent cx="1666875" cy="104775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A6BE1" w:rsidRDefault="000662DD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-1111884</wp:posOffset>
              </wp:positionH>
              <wp:positionV relativeFrom="paragraph">
                <wp:posOffset>-243204</wp:posOffset>
              </wp:positionV>
              <wp:extent cx="1666875" cy="1047750"/>
              <wp:effectExtent b="0" l="0" r="0" t="0"/>
              <wp:wrapNone/>
              <wp:docPr id="2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1047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960120</wp:posOffset>
              </wp:positionH>
              <wp:positionV relativeFrom="paragraph">
                <wp:posOffset>-69214</wp:posOffset>
              </wp:positionV>
              <wp:extent cx="4286250" cy="657225"/>
              <wp:effectExtent l="0" t="0" r="0" b="952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A6BE1" w:rsidRDefault="00B37842" w:rsidP="000418DA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2A6BE1" w:rsidRDefault="00B37842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2A6BE1" w:rsidRPr="000C48EA" w:rsidRDefault="00B37842" w:rsidP="000C48EA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</w:pPr>
                          <w:r w:rsidRPr="000C48EA"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960120</wp:posOffset>
              </wp:positionH>
              <wp:positionV relativeFrom="paragraph">
                <wp:posOffset>-69214</wp:posOffset>
              </wp:positionV>
              <wp:extent cx="4286250" cy="666750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6250" cy="66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-706754</wp:posOffset>
              </wp:positionH>
              <wp:positionV relativeFrom="paragraph">
                <wp:posOffset>-288289</wp:posOffset>
              </wp:positionV>
              <wp:extent cx="1647825" cy="1452245"/>
              <wp:effectExtent l="0" t="0" r="9525" b="0"/>
              <wp:wrapNone/>
              <wp:docPr id="23" name="Grup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825" cy="1452245"/>
                        <a:chOff x="411" y="111"/>
                        <a:chExt cx="2595" cy="2287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59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A6BE1" w:rsidRPr="00102E0C" w:rsidRDefault="00B37842" w:rsidP="008404C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2A6BE1" w:rsidRPr="00102E0C" w:rsidRDefault="00B37842" w:rsidP="008404C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2A6BE1" w:rsidRPr="00102E0C" w:rsidRDefault="00B37842" w:rsidP="008404C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1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-706754</wp:posOffset>
              </wp:positionH>
              <wp:positionV relativeFrom="paragraph">
                <wp:posOffset>-288289</wp:posOffset>
              </wp:positionV>
              <wp:extent cx="1657350" cy="1452245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145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5C" w:rsidRDefault="00F6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5C"/>
    <w:rsid w:val="00035339"/>
    <w:rsid w:val="000662DD"/>
    <w:rsid w:val="00373410"/>
    <w:rsid w:val="004050C0"/>
    <w:rsid w:val="004B059A"/>
    <w:rsid w:val="00511D0F"/>
    <w:rsid w:val="005E04A4"/>
    <w:rsid w:val="00622868"/>
    <w:rsid w:val="007D5942"/>
    <w:rsid w:val="00877851"/>
    <w:rsid w:val="00B37842"/>
    <w:rsid w:val="00B552A4"/>
    <w:rsid w:val="00B863D6"/>
    <w:rsid w:val="00D52E99"/>
    <w:rsid w:val="00DC7A80"/>
    <w:rsid w:val="00E141F1"/>
    <w:rsid w:val="00E34885"/>
    <w:rsid w:val="00E7619B"/>
    <w:rsid w:val="00EE4BEE"/>
    <w:rsid w:val="00F1480C"/>
    <w:rsid w:val="00F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62F0"/>
  <w15:docId w15:val="{602B184F-D91A-4363-8F82-FD2E8364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8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character" w:styleId="nfasis">
    <w:name w:val="Emphasis"/>
    <w:basedOn w:val="Fuentedeprrafopredeter"/>
    <w:uiPriority w:val="20"/>
    <w:qFormat/>
    <w:rsid w:val="00D714D8"/>
    <w:rPr>
      <w:i/>
      <w:iCs/>
    </w:rPr>
  </w:style>
  <w:style w:type="character" w:customStyle="1" w:styleId="labesdetalle">
    <w:name w:val="labesdetalle"/>
    <w:basedOn w:val="Fuentedeprrafopredeter"/>
    <w:rsid w:val="005837C9"/>
  </w:style>
  <w:style w:type="character" w:styleId="Refdecomentario">
    <w:name w:val="annotation reference"/>
    <w:basedOn w:val="Fuentedeprrafopredeter"/>
    <w:semiHidden/>
    <w:unhideWhenUsed/>
    <w:rsid w:val="005837C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837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37C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83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837C9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152A"/>
    <w:rPr>
      <w:sz w:val="28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11.png"/><Relationship Id="rId5" Type="http://schemas.openxmlformats.org/officeDocument/2006/relationships/image" Target="media/image3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Polanco</dc:creator>
  <cp:lastModifiedBy>Lesly Pantoja</cp:lastModifiedBy>
  <cp:revision>3</cp:revision>
  <cp:lastPrinted>2019-11-21T20:46:00Z</cp:lastPrinted>
  <dcterms:created xsi:type="dcterms:W3CDTF">2019-11-26T21:40:00Z</dcterms:created>
  <dcterms:modified xsi:type="dcterms:W3CDTF">2019-11-26T23:30:00Z</dcterms:modified>
</cp:coreProperties>
</file>